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1A099A" w:rsidP="001F2C2E">
      <w:pPr>
        <w:pStyle w:val="Heading1"/>
        <w:spacing w:before="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7C020D">
        <w:rPr>
          <w:rFonts w:asciiTheme="minorHAnsi" w:hAnsiTheme="minorHAnsi" w:cstheme="minorHAnsi"/>
          <w:b w:val="0"/>
        </w:rPr>
        <w:t>March 19</w:t>
      </w:r>
      <w:r w:rsidR="00007347">
        <w:rPr>
          <w:rFonts w:asciiTheme="minorHAnsi" w:hAnsiTheme="minorHAnsi" w:cstheme="minorHAnsi"/>
          <w:b w:val="0"/>
        </w:rPr>
        <w:t>, 2015</w:t>
      </w:r>
      <w:r w:rsidR="00007347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      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9C4A12" w:rsidRPr="00E879A4">
        <w:rPr>
          <w:rFonts w:asciiTheme="minorHAnsi" w:hAnsiTheme="minorHAnsi" w:cstheme="minorHAnsi"/>
          <w:b w:val="0"/>
          <w:sz w:val="24"/>
        </w:rPr>
        <w:t>GEB A304</w:t>
      </w:r>
    </w:p>
    <w:p w:rsidR="00305869" w:rsidRPr="00985075" w:rsidRDefault="00305869" w:rsidP="00305869">
      <w:pPr>
        <w:spacing w:after="0"/>
        <w:rPr>
          <w:sz w:val="16"/>
        </w:rPr>
      </w:pPr>
    </w:p>
    <w:p w:rsidR="005B6A86" w:rsidRPr="00E879A4" w:rsidRDefault="005B6A86" w:rsidP="00242C82">
      <w:pPr>
        <w:spacing w:after="120"/>
        <w:rPr>
          <w:rFonts w:cstheme="minorHAnsi"/>
          <w:sz w:val="6"/>
        </w:rPr>
      </w:pPr>
    </w:p>
    <w:tbl>
      <w:tblPr>
        <w:tblW w:w="9835" w:type="dxa"/>
        <w:tblInd w:w="-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675"/>
        <w:gridCol w:w="2160"/>
      </w:tblGrid>
      <w:tr w:rsidR="00D84E8B" w:rsidRPr="00D10464" w:rsidTr="00A24697">
        <w:trPr>
          <w:trHeight w:val="281"/>
        </w:trPr>
        <w:tc>
          <w:tcPr>
            <w:tcW w:w="7675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16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273E6C" w:rsidTr="00A24697">
        <w:trPr>
          <w:trHeight w:val="710"/>
        </w:trPr>
        <w:tc>
          <w:tcPr>
            <w:tcW w:w="7675" w:type="dxa"/>
            <w:tcBorders>
              <w:top w:val="double" w:sz="6" w:space="0" w:color="5F5F5F"/>
              <w:bottom w:val="double" w:sz="4" w:space="0" w:color="auto"/>
            </w:tcBorders>
          </w:tcPr>
          <w:p w:rsidR="00E368BF" w:rsidRPr="00273E6C" w:rsidRDefault="00DA3451" w:rsidP="0061626E">
            <w:pPr>
              <w:spacing w:after="120" w:line="240" w:lineRule="auto"/>
              <w:rPr>
                <w:b/>
                <w:caps/>
                <w:sz w:val="21"/>
                <w:szCs w:val="21"/>
              </w:rPr>
            </w:pPr>
            <w:r w:rsidRPr="00273E6C">
              <w:rPr>
                <w:b/>
                <w:caps/>
                <w:sz w:val="21"/>
                <w:szCs w:val="21"/>
              </w:rPr>
              <w:t>CAMPUS</w:t>
            </w:r>
            <w:r w:rsidR="00E368BF" w:rsidRPr="00273E6C">
              <w:rPr>
                <w:b/>
                <w:caps/>
                <w:sz w:val="21"/>
                <w:szCs w:val="21"/>
              </w:rPr>
              <w:t xml:space="preserve"> Updates</w:t>
            </w:r>
          </w:p>
          <w:p w:rsidR="00756837" w:rsidRPr="00273E6C" w:rsidRDefault="00165C11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1"/>
                <w:szCs w:val="21"/>
              </w:rPr>
            </w:pPr>
            <w:r w:rsidRPr="00273E6C">
              <w:rPr>
                <w:b/>
                <w:caps/>
                <w:sz w:val="21"/>
                <w:szCs w:val="21"/>
              </w:rPr>
              <w:t>HUMAN RESOURCES</w:t>
            </w:r>
          </w:p>
          <w:p w:rsidR="00A24697" w:rsidRPr="00273E6C" w:rsidRDefault="00165C11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Employment Issues:  Beyond Orientation</w:t>
            </w:r>
          </w:p>
          <w:p w:rsidR="00165C11" w:rsidRPr="00273E6C" w:rsidRDefault="00165C11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Benefits Update:  FML Reminders, Upcoming Insurance Changes (July 1, 2015)</w:t>
            </w:r>
          </w:p>
          <w:p w:rsidR="00165C11" w:rsidRPr="00273E6C" w:rsidRDefault="00165C11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 xml:space="preserve">Training Reminder:  </w:t>
            </w:r>
            <w:hyperlink r:id="rId9" w:history="1">
              <w:r w:rsidRPr="00273E6C">
                <w:rPr>
                  <w:rStyle w:val="Hyperlink"/>
                  <w:sz w:val="21"/>
                  <w:szCs w:val="21"/>
                </w:rPr>
                <w:t>Women’s Month Panel Discussion</w:t>
              </w:r>
            </w:hyperlink>
            <w:r w:rsidRPr="00273E6C">
              <w:rPr>
                <w:sz w:val="21"/>
                <w:szCs w:val="21"/>
              </w:rPr>
              <w:t xml:space="preserve"> (March 25, 2015)</w:t>
            </w:r>
          </w:p>
          <w:p w:rsidR="00165C11" w:rsidRPr="00273E6C" w:rsidRDefault="00165C11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 xml:space="preserve">Compensation Topic:  </w:t>
            </w:r>
            <w:hyperlink r:id="rId10" w:history="1">
              <w:r w:rsidRPr="00273E6C">
                <w:rPr>
                  <w:rStyle w:val="Hyperlink"/>
                  <w:sz w:val="21"/>
                  <w:szCs w:val="21"/>
                </w:rPr>
                <w:t>Performance Evaluations Due</w:t>
              </w:r>
            </w:hyperlink>
            <w:r w:rsidRPr="00273E6C">
              <w:rPr>
                <w:sz w:val="21"/>
                <w:szCs w:val="21"/>
              </w:rPr>
              <w:t xml:space="preserve"> (March 31, 2015)</w:t>
            </w:r>
          </w:p>
          <w:p w:rsidR="00D31E7F" w:rsidRPr="00273E6C" w:rsidRDefault="00D31E7F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i/>
                <w:sz w:val="21"/>
                <w:szCs w:val="21"/>
              </w:rPr>
            </w:pPr>
            <w:hyperlink r:id="rId11" w:history="1">
              <w:r w:rsidRPr="00273E6C">
                <w:rPr>
                  <w:rStyle w:val="Hyperlink"/>
                  <w:sz w:val="21"/>
                  <w:szCs w:val="21"/>
                </w:rPr>
                <w:t>Recruitment Satisfaction &amp; Feedback Survey</w:t>
              </w:r>
            </w:hyperlink>
            <w:r w:rsidRPr="00273E6C">
              <w:rPr>
                <w:sz w:val="21"/>
                <w:szCs w:val="21"/>
              </w:rPr>
              <w:t xml:space="preserve"> (for Business Managers) – </w:t>
            </w:r>
            <w:r w:rsidRPr="00273E6C">
              <w:rPr>
                <w:i/>
                <w:sz w:val="21"/>
                <w:szCs w:val="21"/>
              </w:rPr>
              <w:t xml:space="preserve">Please complete this form and bring with you to the meeting. </w:t>
            </w:r>
          </w:p>
          <w:p w:rsidR="00165C11" w:rsidRPr="00273E6C" w:rsidRDefault="00165C11" w:rsidP="00A25339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6"/>
                <w:szCs w:val="21"/>
              </w:rPr>
            </w:pPr>
          </w:p>
          <w:p w:rsidR="00A25339" w:rsidRPr="00273E6C" w:rsidRDefault="00165C11" w:rsidP="00A25339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1"/>
                <w:szCs w:val="21"/>
              </w:rPr>
            </w:pPr>
            <w:r w:rsidRPr="00273E6C">
              <w:rPr>
                <w:b/>
                <w:caps/>
                <w:sz w:val="21"/>
                <w:szCs w:val="21"/>
              </w:rPr>
              <w:t>RESEARCH</w:t>
            </w:r>
          </w:p>
          <w:p w:rsidR="00A25339" w:rsidRPr="00273E6C" w:rsidRDefault="00C71221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hyperlink r:id="rId12" w:history="1">
              <w:r w:rsidR="00A25339" w:rsidRPr="00273E6C">
                <w:rPr>
                  <w:rStyle w:val="Hyperlink"/>
                  <w:sz w:val="21"/>
                  <w:szCs w:val="21"/>
                </w:rPr>
                <w:t>Grant-Writing Seminar</w:t>
              </w:r>
            </w:hyperlink>
          </w:p>
          <w:p w:rsidR="00A25339" w:rsidRPr="00273E6C" w:rsidRDefault="00C71221" w:rsidP="00C031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hyperlink r:id="rId13" w:history="1">
              <w:r w:rsidR="00A25339" w:rsidRPr="00273E6C">
                <w:rPr>
                  <w:rStyle w:val="Hyperlink"/>
                  <w:sz w:val="21"/>
                  <w:szCs w:val="21"/>
                </w:rPr>
                <w:t xml:space="preserve">New </w:t>
              </w:r>
              <w:proofErr w:type="spellStart"/>
              <w:r w:rsidR="00A25339" w:rsidRPr="00273E6C">
                <w:rPr>
                  <w:rStyle w:val="Hyperlink"/>
                  <w:sz w:val="21"/>
                  <w:szCs w:val="21"/>
                </w:rPr>
                <w:t>Subaward</w:t>
              </w:r>
              <w:proofErr w:type="spellEnd"/>
              <w:r w:rsidR="00A25339" w:rsidRPr="00273E6C">
                <w:rPr>
                  <w:rStyle w:val="Hyperlink"/>
                  <w:sz w:val="21"/>
                  <w:szCs w:val="21"/>
                </w:rPr>
                <w:t xml:space="preserve"> Forms</w:t>
              </w:r>
            </w:hyperlink>
          </w:p>
          <w:p w:rsidR="00C0313C" w:rsidRPr="00273E6C" w:rsidRDefault="00C71221" w:rsidP="00C0313C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hyperlink r:id="rId14" w:history="1">
              <w:proofErr w:type="spellStart"/>
              <w:r w:rsidR="00C0313C" w:rsidRPr="00273E6C">
                <w:rPr>
                  <w:rStyle w:val="Hyperlink"/>
                  <w:sz w:val="21"/>
                  <w:szCs w:val="21"/>
                </w:rPr>
                <w:t>Subrecipient</w:t>
              </w:r>
              <w:proofErr w:type="spellEnd"/>
              <w:r w:rsidR="00C0313C" w:rsidRPr="00273E6C">
                <w:rPr>
                  <w:rStyle w:val="Hyperlink"/>
                  <w:sz w:val="21"/>
                  <w:szCs w:val="21"/>
                </w:rPr>
                <w:t xml:space="preserve"> Commitment Form – Receivable</w:t>
              </w:r>
            </w:hyperlink>
          </w:p>
          <w:p w:rsidR="00C0313C" w:rsidRPr="00273E6C" w:rsidRDefault="00C71221" w:rsidP="00C0313C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hyperlink r:id="rId15" w:history="1">
              <w:proofErr w:type="spellStart"/>
              <w:r w:rsidR="00C0313C" w:rsidRPr="00273E6C">
                <w:rPr>
                  <w:rStyle w:val="Hyperlink"/>
                  <w:sz w:val="21"/>
                  <w:szCs w:val="21"/>
                </w:rPr>
                <w:t>Subrecipient</w:t>
              </w:r>
              <w:proofErr w:type="spellEnd"/>
              <w:r w:rsidR="00C0313C" w:rsidRPr="00273E6C">
                <w:rPr>
                  <w:rStyle w:val="Hyperlink"/>
                  <w:sz w:val="21"/>
                  <w:szCs w:val="21"/>
                </w:rPr>
                <w:t xml:space="preserve"> Commitment Form - Payable</w:t>
              </w:r>
            </w:hyperlink>
          </w:p>
          <w:p w:rsidR="00165C11" w:rsidRPr="00273E6C" w:rsidRDefault="00165C11" w:rsidP="00A25339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18"/>
                <w:szCs w:val="21"/>
              </w:rPr>
            </w:pPr>
          </w:p>
          <w:p w:rsidR="00A25339" w:rsidRPr="00273E6C" w:rsidRDefault="00165C11" w:rsidP="00A25339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1"/>
                <w:szCs w:val="21"/>
              </w:rPr>
            </w:pPr>
            <w:r w:rsidRPr="00273E6C">
              <w:rPr>
                <w:b/>
                <w:sz w:val="21"/>
                <w:szCs w:val="21"/>
              </w:rPr>
              <w:t>SAFETY</w:t>
            </w:r>
          </w:p>
          <w:p w:rsidR="00A25339" w:rsidRPr="00273E6C" w:rsidRDefault="00A25339" w:rsidP="00165C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S</w:t>
            </w:r>
            <w:r w:rsidR="00165C11" w:rsidRPr="00273E6C">
              <w:rPr>
                <w:sz w:val="21"/>
                <w:szCs w:val="21"/>
              </w:rPr>
              <w:t>cheduling of Lab Safety Training</w:t>
            </w:r>
          </w:p>
          <w:p w:rsidR="00A25339" w:rsidRPr="00273E6C" w:rsidRDefault="00165C11" w:rsidP="00165C11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Lab Personnel Listing</w:t>
            </w:r>
          </w:p>
          <w:p w:rsidR="00E43653" w:rsidRPr="00273E6C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21"/>
                <w:szCs w:val="21"/>
              </w:rPr>
            </w:pPr>
          </w:p>
          <w:p w:rsidR="00044C33" w:rsidRPr="00273E6C" w:rsidRDefault="00044C33" w:rsidP="00803AEA">
            <w:pPr>
              <w:spacing w:before="240" w:after="120" w:line="240" w:lineRule="auto"/>
              <w:rPr>
                <w:b/>
                <w:caps/>
                <w:sz w:val="21"/>
                <w:szCs w:val="21"/>
              </w:rPr>
            </w:pPr>
            <w:r w:rsidRPr="00273E6C">
              <w:rPr>
                <w:b/>
                <w:caps/>
                <w:sz w:val="21"/>
                <w:szCs w:val="21"/>
              </w:rPr>
              <w:t>Finance Updates</w:t>
            </w:r>
          </w:p>
          <w:p w:rsidR="00A25339" w:rsidRPr="00273E6C" w:rsidRDefault="00A25339" w:rsidP="00A25339">
            <w:pPr>
              <w:spacing w:after="240" w:line="240" w:lineRule="auto"/>
              <w:ind w:left="36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 xml:space="preserve">Equipment Maintenance Management Program </w:t>
            </w:r>
            <w:r w:rsidRPr="00273E6C">
              <w:rPr>
                <w:i/>
                <w:sz w:val="21"/>
                <w:szCs w:val="21"/>
              </w:rPr>
              <w:t>(Specialty Underwriters)</w:t>
            </w:r>
          </w:p>
          <w:p w:rsidR="007C020D" w:rsidRPr="00273E6C" w:rsidRDefault="00C71221" w:rsidP="00165C11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hyperlink r:id="rId16" w:history="1">
              <w:r w:rsidR="007C020D" w:rsidRPr="00273E6C">
                <w:rPr>
                  <w:rStyle w:val="Hyperlink"/>
                  <w:sz w:val="21"/>
                  <w:szCs w:val="21"/>
                </w:rPr>
                <w:t>Medical License Renewals</w:t>
              </w:r>
            </w:hyperlink>
          </w:p>
          <w:p w:rsidR="007C020D" w:rsidRPr="00273E6C" w:rsidRDefault="00C71221" w:rsidP="00165C11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hyperlink r:id="rId17" w:history="1">
              <w:r w:rsidR="007C020D" w:rsidRPr="00273E6C">
                <w:rPr>
                  <w:rStyle w:val="Hyperlink"/>
                  <w:sz w:val="21"/>
                  <w:szCs w:val="21"/>
                </w:rPr>
                <w:t>Entertainment Expenses</w:t>
              </w:r>
            </w:hyperlink>
          </w:p>
          <w:p w:rsidR="007C020D" w:rsidRPr="00273E6C" w:rsidRDefault="00C71221" w:rsidP="00A25339">
            <w:pPr>
              <w:spacing w:after="240" w:line="240" w:lineRule="auto"/>
              <w:ind w:left="360"/>
              <w:rPr>
                <w:sz w:val="21"/>
                <w:szCs w:val="21"/>
              </w:rPr>
            </w:pPr>
            <w:hyperlink r:id="rId18" w:history="1">
              <w:r w:rsidR="007C020D" w:rsidRPr="00273E6C">
                <w:rPr>
                  <w:rStyle w:val="Hyperlink"/>
                  <w:sz w:val="21"/>
                  <w:szCs w:val="21"/>
                </w:rPr>
                <w:t>Professional Privilege Tax</w:t>
              </w:r>
            </w:hyperlink>
          </w:p>
          <w:p w:rsidR="007C020D" w:rsidRPr="00273E6C" w:rsidRDefault="00A25339" w:rsidP="00C71221">
            <w:pPr>
              <w:spacing w:after="240" w:line="240" w:lineRule="auto"/>
              <w:ind w:left="360"/>
              <w:rPr>
                <w:sz w:val="21"/>
                <w:szCs w:val="21"/>
              </w:rPr>
            </w:pPr>
            <w:bookmarkStart w:id="0" w:name="_GoBack"/>
            <w:r w:rsidRPr="00273E6C">
              <w:rPr>
                <w:sz w:val="21"/>
                <w:szCs w:val="21"/>
              </w:rPr>
              <w:t>NIH No-Cost Extensions</w:t>
            </w:r>
          </w:p>
          <w:bookmarkEnd w:id="0"/>
          <w:p w:rsidR="00273E6C" w:rsidRPr="00273E6C" w:rsidRDefault="00273E6C" w:rsidP="00A25339">
            <w:pPr>
              <w:spacing w:after="240" w:line="240" w:lineRule="auto"/>
              <w:ind w:left="36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Procurement Card Limit Changes</w:t>
            </w:r>
            <w:r>
              <w:rPr>
                <w:sz w:val="21"/>
                <w:szCs w:val="21"/>
              </w:rPr>
              <w:t xml:space="preserve"> (</w:t>
            </w:r>
            <w:hyperlink r:id="rId19" w:history="1">
              <w:r w:rsidRPr="00273E6C">
                <w:rPr>
                  <w:rStyle w:val="Hyperlink"/>
                  <w:sz w:val="21"/>
                  <w:szCs w:val="21"/>
                </w:rPr>
                <w:t>Video</w:t>
              </w:r>
            </w:hyperlink>
            <w:r>
              <w:rPr>
                <w:sz w:val="21"/>
                <w:szCs w:val="21"/>
              </w:rPr>
              <w:t xml:space="preserve"> / </w:t>
            </w:r>
            <w:hyperlink r:id="rId20" w:history="1">
              <w:r w:rsidRPr="00273E6C">
                <w:rPr>
                  <w:rStyle w:val="Hyperlink"/>
                  <w:sz w:val="21"/>
                  <w:szCs w:val="21"/>
                </w:rPr>
                <w:t>Handout</w:t>
              </w:r>
            </w:hyperlink>
            <w:r>
              <w:rPr>
                <w:sz w:val="21"/>
                <w:szCs w:val="21"/>
              </w:rPr>
              <w:t>)</w:t>
            </w:r>
          </w:p>
          <w:p w:rsidR="00333AC3" w:rsidRPr="00273E6C" w:rsidRDefault="007C020D" w:rsidP="00273E6C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Payment of Sodexo Invoices</w:t>
            </w:r>
          </w:p>
          <w:p w:rsidR="00273E6C" w:rsidRPr="00273E6C" w:rsidRDefault="00273E6C" w:rsidP="00165C11">
            <w:pPr>
              <w:spacing w:after="0" w:line="240" w:lineRule="auto"/>
              <w:ind w:left="36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Equipment Inventory Deadline</w:t>
            </w:r>
          </w:p>
          <w:p w:rsidR="006526FF" w:rsidRPr="00273E6C" w:rsidRDefault="00EB0D2C" w:rsidP="003D2E56">
            <w:pPr>
              <w:spacing w:after="60" w:line="240" w:lineRule="auto"/>
              <w:ind w:left="360"/>
              <w:rPr>
                <w:sz w:val="21"/>
                <w:szCs w:val="21"/>
              </w:rPr>
            </w:pPr>
            <w:r w:rsidRPr="00273E6C">
              <w:rPr>
                <w:sz w:val="21"/>
                <w:szCs w:val="21"/>
              </w:rPr>
              <w:t>Procurement Card Audit</w:t>
            </w:r>
            <w:r w:rsidR="006A021C" w:rsidRPr="00273E6C">
              <w:rPr>
                <w:sz w:val="21"/>
                <w:szCs w:val="21"/>
              </w:rPr>
              <w:t>s</w:t>
            </w:r>
          </w:p>
        </w:tc>
        <w:tc>
          <w:tcPr>
            <w:tcW w:w="216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273E6C" w:rsidRDefault="00DA2BF6" w:rsidP="00AA1299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B48EB" w:rsidRPr="00273E6C" w:rsidRDefault="00EB0D2C" w:rsidP="00FA0106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Chandra Alston</w:t>
            </w:r>
          </w:p>
          <w:p w:rsidR="002B48EB" w:rsidRPr="00273E6C" w:rsidRDefault="002B48EB" w:rsidP="00FA0106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40D5B" w:rsidRPr="00273E6C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40D5B" w:rsidRPr="00273E6C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40D5B" w:rsidRPr="00273E6C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5313D" w:rsidRPr="00273E6C" w:rsidRDefault="0025313D" w:rsidP="00165C11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31E7F" w:rsidRPr="00273E6C" w:rsidRDefault="00D31E7F" w:rsidP="00E43653">
            <w:pPr>
              <w:pStyle w:val="Location"/>
              <w:jc w:val="center"/>
              <w:rPr>
                <w:rFonts w:asciiTheme="minorHAnsi" w:hAnsiTheme="minorHAnsi" w:cstheme="minorHAnsi"/>
                <w:sz w:val="36"/>
                <w:szCs w:val="21"/>
              </w:rPr>
            </w:pPr>
          </w:p>
          <w:p w:rsidR="0025313D" w:rsidRPr="00273E6C" w:rsidRDefault="00A25339" w:rsidP="00E43653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Debbie Smith</w:t>
            </w:r>
          </w:p>
          <w:p w:rsidR="0025313D" w:rsidRPr="00273E6C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24697" w:rsidRPr="00273E6C" w:rsidRDefault="00A24697" w:rsidP="0061626E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165C11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165C11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0313C" w:rsidRPr="00273E6C" w:rsidRDefault="00C0313C" w:rsidP="00A25339">
            <w:pPr>
              <w:pStyle w:val="Location"/>
              <w:spacing w:after="240"/>
              <w:jc w:val="center"/>
              <w:rPr>
                <w:rFonts w:asciiTheme="minorHAnsi" w:hAnsiTheme="minorHAnsi" w:cstheme="minorHAnsi"/>
                <w:sz w:val="10"/>
                <w:szCs w:val="21"/>
              </w:rPr>
            </w:pPr>
          </w:p>
          <w:p w:rsidR="00A25339" w:rsidRPr="00273E6C" w:rsidRDefault="00A25339" w:rsidP="00A25339">
            <w:pPr>
              <w:pStyle w:val="Location"/>
              <w:spacing w:after="24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Brian Lemieux</w:t>
            </w:r>
          </w:p>
          <w:p w:rsidR="00165C11" w:rsidRPr="00273E6C" w:rsidRDefault="00165C11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803AEA">
            <w:pPr>
              <w:pStyle w:val="Location"/>
              <w:spacing w:before="24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65C11" w:rsidRPr="00273E6C" w:rsidRDefault="00165C11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Nicole O’Leary</w:t>
            </w:r>
          </w:p>
          <w:p w:rsidR="00165C11" w:rsidRPr="00273E6C" w:rsidRDefault="00165C11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14"/>
                <w:szCs w:val="21"/>
              </w:rPr>
            </w:pPr>
          </w:p>
          <w:p w:rsidR="002B48EB" w:rsidRPr="00273E6C" w:rsidRDefault="00A24697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Melanie Burlison</w:t>
            </w:r>
          </w:p>
          <w:p w:rsidR="00AB33D6" w:rsidRPr="00273E6C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B33D6" w:rsidRPr="00C71221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</w:p>
          <w:p w:rsidR="00A24697" w:rsidRPr="00273E6C" w:rsidRDefault="00A25339" w:rsidP="00C71221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Gerri Bussell</w:t>
            </w:r>
          </w:p>
          <w:p w:rsidR="00C71221" w:rsidRPr="00C71221" w:rsidRDefault="00C71221" w:rsidP="00273E6C">
            <w:pPr>
              <w:pStyle w:val="Location"/>
              <w:jc w:val="center"/>
              <w:rPr>
                <w:rFonts w:asciiTheme="minorHAnsi" w:hAnsiTheme="minorHAnsi" w:cstheme="minorHAnsi"/>
                <w:sz w:val="28"/>
                <w:szCs w:val="21"/>
              </w:rPr>
            </w:pPr>
          </w:p>
          <w:p w:rsidR="00273E6C" w:rsidRPr="00273E6C" w:rsidRDefault="00273E6C" w:rsidP="00273E6C">
            <w:pPr>
              <w:pStyle w:val="Location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Linda Crouch</w:t>
            </w:r>
          </w:p>
          <w:p w:rsidR="00273E6C" w:rsidRPr="00273E6C" w:rsidRDefault="00273E6C" w:rsidP="00A24697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10"/>
                <w:szCs w:val="21"/>
              </w:rPr>
            </w:pPr>
          </w:p>
          <w:p w:rsidR="00A24697" w:rsidRPr="00273E6C" w:rsidRDefault="00A24697" w:rsidP="00A24697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3E6C">
              <w:rPr>
                <w:rFonts w:asciiTheme="minorHAnsi" w:hAnsiTheme="minorHAnsi" w:cstheme="minorHAnsi"/>
                <w:sz w:val="21"/>
                <w:szCs w:val="21"/>
              </w:rPr>
              <w:t>Tony Ferrara</w:t>
            </w:r>
          </w:p>
        </w:tc>
      </w:tr>
      <w:tr w:rsidR="00072882" w:rsidRPr="00273E6C" w:rsidTr="00A24697">
        <w:trPr>
          <w:trHeight w:val="586"/>
        </w:trPr>
        <w:tc>
          <w:tcPr>
            <w:tcW w:w="9835" w:type="dxa"/>
            <w:gridSpan w:val="2"/>
            <w:tcBorders>
              <w:top w:val="double" w:sz="4" w:space="0" w:color="auto"/>
              <w:bottom w:val="nil"/>
            </w:tcBorders>
          </w:tcPr>
          <w:p w:rsidR="006526FF" w:rsidRPr="00273E6C" w:rsidRDefault="006526FF" w:rsidP="00EB0D2C">
            <w:pPr>
              <w:pStyle w:val="Heading2"/>
              <w:ind w:left="360" w:right="360"/>
              <w:jc w:val="both"/>
              <w:rPr>
                <w:rFonts w:asciiTheme="minorHAnsi" w:hAnsiTheme="minorHAnsi" w:cstheme="minorHAnsi"/>
                <w:i/>
                <w:sz w:val="4"/>
                <w:szCs w:val="22"/>
              </w:rPr>
            </w:pPr>
            <w:bookmarkStart w:id="1" w:name="OLE_LINK1"/>
          </w:p>
          <w:p w:rsidR="00072882" w:rsidRPr="00273E6C" w:rsidRDefault="00072882" w:rsidP="00FA5E8D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</w:pPr>
            <w:r w:rsidRPr="00273E6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Additional Instructions:  </w:t>
            </w:r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Handouts and agenda are available online through the Finance and Operations web page at</w:t>
            </w:r>
            <w:r w:rsidRPr="00273E6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hyperlink r:id="rId21" w:history="1">
              <w:r w:rsidRPr="00273E6C">
                <w:rPr>
                  <w:rStyle w:val="Hyperlink"/>
                  <w:rFonts w:asciiTheme="minorHAnsi" w:hAnsiTheme="minorHAnsi" w:cstheme="minorHAnsi"/>
                  <w:b w:val="0"/>
                  <w:i/>
                  <w:sz w:val="20"/>
                  <w:szCs w:val="22"/>
                </w:rPr>
                <w:t>http://www.uthsc.edu/finance/business_managers_meetings.php</w:t>
              </w:r>
            </w:hyperlink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.</w:t>
            </w:r>
            <w:r w:rsidRPr="00273E6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 </w:t>
            </w:r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 xml:space="preserve">The next Campus-Wide Business Managers </w:t>
            </w:r>
            <w:r w:rsidR="00DE0A3F"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 xml:space="preserve">meeting </w:t>
            </w:r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is scheduled to</w:t>
            </w:r>
            <w:r w:rsidRPr="00273E6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="00DE0A3F"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be</w:t>
            </w:r>
            <w:r w:rsidR="00DE0A3F" w:rsidRPr="00273E6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 xml:space="preserve">held on </w:t>
            </w:r>
            <w:r w:rsidR="00A25339"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May 21</w:t>
            </w:r>
            <w:r w:rsidR="004F48E0"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, 2015</w:t>
            </w:r>
            <w:r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>.</w:t>
            </w:r>
            <w:r w:rsidR="00730201" w:rsidRPr="00273E6C">
              <w:rPr>
                <w:rFonts w:asciiTheme="minorHAnsi" w:hAnsiTheme="minorHAnsi" w:cstheme="minorHAnsi"/>
                <w:b w:val="0"/>
                <w:i/>
                <w:sz w:val="20"/>
                <w:szCs w:val="22"/>
              </w:rPr>
              <w:t xml:space="preserve">   </w:t>
            </w:r>
          </w:p>
          <w:p w:rsidR="00A24697" w:rsidRPr="00273E6C" w:rsidRDefault="00A24697" w:rsidP="00A24697">
            <w:pPr>
              <w:spacing w:after="0"/>
              <w:rPr>
                <w:sz w:val="20"/>
              </w:rPr>
            </w:pPr>
            <w:r w:rsidRPr="00273E6C">
              <w:rPr>
                <w:sz w:val="20"/>
              </w:rPr>
              <w:t xml:space="preserve"> 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D" w:rsidRDefault="007C0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C71221">
      <w:rPr>
        <w:i/>
        <w:noProof/>
        <w:color w:val="0F243E" w:themeColor="text2" w:themeShade="80"/>
        <w:sz w:val="20"/>
        <w:szCs w:val="26"/>
      </w:rPr>
      <w:t>3/18/2015 10:58 AM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D" w:rsidRDefault="007C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D" w:rsidRDefault="007C0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D" w:rsidRDefault="007C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4"/>
  </w:num>
  <w:num w:numId="5">
    <w:abstractNumId w:val="15"/>
  </w:num>
  <w:num w:numId="6">
    <w:abstractNumId w:val="32"/>
  </w:num>
  <w:num w:numId="7">
    <w:abstractNumId w:val="21"/>
  </w:num>
  <w:num w:numId="8">
    <w:abstractNumId w:val="27"/>
  </w:num>
  <w:num w:numId="9">
    <w:abstractNumId w:val="12"/>
  </w:num>
  <w:num w:numId="10">
    <w:abstractNumId w:val="18"/>
  </w:num>
  <w:num w:numId="11">
    <w:abstractNumId w:val="31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28"/>
  </w:num>
  <w:num w:numId="17">
    <w:abstractNumId w:val="6"/>
  </w:num>
  <w:num w:numId="18">
    <w:abstractNumId w:val="23"/>
  </w:num>
  <w:num w:numId="19">
    <w:abstractNumId w:val="10"/>
  </w:num>
  <w:num w:numId="20">
    <w:abstractNumId w:val="14"/>
  </w:num>
  <w:num w:numId="21">
    <w:abstractNumId w:val="9"/>
  </w:num>
  <w:num w:numId="22">
    <w:abstractNumId w:val="17"/>
  </w:num>
  <w:num w:numId="23">
    <w:abstractNumId w:val="29"/>
  </w:num>
  <w:num w:numId="24">
    <w:abstractNumId w:val="1"/>
  </w:num>
  <w:num w:numId="25">
    <w:abstractNumId w:val="26"/>
  </w:num>
  <w:num w:numId="26">
    <w:abstractNumId w:val="20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0"/>
  </w:num>
  <w:num w:numId="32">
    <w:abstractNumId w:val="19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721B"/>
    <w:rsid w:val="00040A20"/>
    <w:rsid w:val="00044C33"/>
    <w:rsid w:val="0005220C"/>
    <w:rsid w:val="00053858"/>
    <w:rsid w:val="00053C24"/>
    <w:rsid w:val="000604C4"/>
    <w:rsid w:val="00072882"/>
    <w:rsid w:val="00075591"/>
    <w:rsid w:val="0008004E"/>
    <w:rsid w:val="00082B33"/>
    <w:rsid w:val="000965FD"/>
    <w:rsid w:val="000A5655"/>
    <w:rsid w:val="000B3A44"/>
    <w:rsid w:val="000B5D35"/>
    <w:rsid w:val="000C4906"/>
    <w:rsid w:val="000C5946"/>
    <w:rsid w:val="000C5E3E"/>
    <w:rsid w:val="000D3DE3"/>
    <w:rsid w:val="000D5621"/>
    <w:rsid w:val="000E2B7A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65C11"/>
    <w:rsid w:val="00171C5B"/>
    <w:rsid w:val="00173A08"/>
    <w:rsid w:val="00180EA5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15FB4"/>
    <w:rsid w:val="002218EB"/>
    <w:rsid w:val="00235FBE"/>
    <w:rsid w:val="00240CCF"/>
    <w:rsid w:val="00242C82"/>
    <w:rsid w:val="002478CE"/>
    <w:rsid w:val="002507D8"/>
    <w:rsid w:val="0025313D"/>
    <w:rsid w:val="00256FA3"/>
    <w:rsid w:val="00257EE8"/>
    <w:rsid w:val="0026131D"/>
    <w:rsid w:val="00266675"/>
    <w:rsid w:val="00273E6C"/>
    <w:rsid w:val="00295F57"/>
    <w:rsid w:val="002968EB"/>
    <w:rsid w:val="00297C47"/>
    <w:rsid w:val="002A02DB"/>
    <w:rsid w:val="002B48EB"/>
    <w:rsid w:val="002B6EAA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7047"/>
    <w:rsid w:val="00367D01"/>
    <w:rsid w:val="00371A35"/>
    <w:rsid w:val="00381F4F"/>
    <w:rsid w:val="00387AFC"/>
    <w:rsid w:val="00395801"/>
    <w:rsid w:val="00397ECF"/>
    <w:rsid w:val="003A49B7"/>
    <w:rsid w:val="003B52F0"/>
    <w:rsid w:val="003C21FD"/>
    <w:rsid w:val="003C6D53"/>
    <w:rsid w:val="003C7514"/>
    <w:rsid w:val="003D2E56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3371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5FAB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45D9"/>
    <w:rsid w:val="006F6086"/>
    <w:rsid w:val="00701EB1"/>
    <w:rsid w:val="00727A0A"/>
    <w:rsid w:val="00730201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020D"/>
    <w:rsid w:val="007C3480"/>
    <w:rsid w:val="007C6904"/>
    <w:rsid w:val="007D396D"/>
    <w:rsid w:val="007E1B18"/>
    <w:rsid w:val="007E6695"/>
    <w:rsid w:val="007F71BD"/>
    <w:rsid w:val="007F73A4"/>
    <w:rsid w:val="007F7749"/>
    <w:rsid w:val="00803AEA"/>
    <w:rsid w:val="00807D46"/>
    <w:rsid w:val="00814AF6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E2619"/>
    <w:rsid w:val="008F6DD4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85075"/>
    <w:rsid w:val="00991392"/>
    <w:rsid w:val="009923EC"/>
    <w:rsid w:val="009932E9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A02CFA"/>
    <w:rsid w:val="00A15D68"/>
    <w:rsid w:val="00A24697"/>
    <w:rsid w:val="00A25339"/>
    <w:rsid w:val="00A30826"/>
    <w:rsid w:val="00A37470"/>
    <w:rsid w:val="00A437C8"/>
    <w:rsid w:val="00A51A4E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C5F74"/>
    <w:rsid w:val="00AD7952"/>
    <w:rsid w:val="00AE1CAF"/>
    <w:rsid w:val="00AF34D7"/>
    <w:rsid w:val="00B0264A"/>
    <w:rsid w:val="00B123AF"/>
    <w:rsid w:val="00B2368E"/>
    <w:rsid w:val="00B26FC5"/>
    <w:rsid w:val="00B2740D"/>
    <w:rsid w:val="00B327B1"/>
    <w:rsid w:val="00B55EE8"/>
    <w:rsid w:val="00B57604"/>
    <w:rsid w:val="00B61065"/>
    <w:rsid w:val="00B923A2"/>
    <w:rsid w:val="00B950F1"/>
    <w:rsid w:val="00B96F08"/>
    <w:rsid w:val="00BC6EA1"/>
    <w:rsid w:val="00BD693F"/>
    <w:rsid w:val="00BF1B9C"/>
    <w:rsid w:val="00C029D5"/>
    <w:rsid w:val="00C0313C"/>
    <w:rsid w:val="00C07BCC"/>
    <w:rsid w:val="00C269D6"/>
    <w:rsid w:val="00C64113"/>
    <w:rsid w:val="00C64F67"/>
    <w:rsid w:val="00C71221"/>
    <w:rsid w:val="00C73769"/>
    <w:rsid w:val="00C81226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31E7F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4765"/>
    <w:rsid w:val="00DF6A95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hsc.edu/finance/documents/New-Subaward-Information-and-Tools-31315" TargetMode="External"/><Relationship Id="rId18" Type="http://schemas.openxmlformats.org/officeDocument/2006/relationships/hyperlink" Target="http://www.uthsc.edu/finance/documents/PROFESSIONAL-PRIVILEGE-TAX.docx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www.uthsc.edu/finance/business_managers_meeting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thsc.edu/finance/documents/faculty-senate-grant-writing-announcement.pdf" TargetMode="External"/><Relationship Id="rId17" Type="http://schemas.openxmlformats.org/officeDocument/2006/relationships/hyperlink" Target="http://policy.tennessee.edu/fiscal_policy/fi0715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thsc.edu/finance/documents/MEDICAL-LICENSE.docx" TargetMode="External"/><Relationship Id="rId20" Type="http://schemas.openxmlformats.org/officeDocument/2006/relationships/hyperlink" Target="http://www.uthsc.edu/finance/documents/Record-Asset-PCard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sc.edu/finance/documents/Business-Manager-Recruitment-Satisfaction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thsc.edu/finance/documents/uthsc-subrecipient-form-payable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uthsc.edu/hr/performance_evaluations.php" TargetMode="External"/><Relationship Id="rId19" Type="http://schemas.openxmlformats.org/officeDocument/2006/relationships/hyperlink" Target="http://acctspayable.tennessee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hsc.edu/hr/documents/whet-march-2015.pdf" TargetMode="External"/><Relationship Id="rId14" Type="http://schemas.openxmlformats.org/officeDocument/2006/relationships/hyperlink" Target="http://www.uthsc.edu/finance/documents/sub-commitment-form-receivable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F3C6E-78E5-4619-A15C-387EB14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9</cp:revision>
  <cp:lastPrinted>2015-03-18T15:58:00Z</cp:lastPrinted>
  <dcterms:created xsi:type="dcterms:W3CDTF">2015-03-12T21:31:00Z</dcterms:created>
  <dcterms:modified xsi:type="dcterms:W3CDTF">2015-03-18T15:58:00Z</dcterms:modified>
</cp:coreProperties>
</file>